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szCs w:val="21"/>
              </w:rPr>
              <w:t>宁波市北仑区普列斯机械有限公司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宁波市北仑区大碶俞王村满六房3号-1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szCs w:val="21"/>
              </w:rPr>
              <w:t>邓宇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宁波市北仑区普列斯机械有限公司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widowControl/>
              <w:rPr>
                <w:color w:val="000000"/>
                <w:sz w:val="18"/>
                <w:szCs w:val="18"/>
              </w:rPr>
            </w:pPr>
            <w:r w:rsidRPr="00E75F76">
              <w:rPr>
                <w:rFonts w:hint="eastAsia"/>
                <w:color w:val="000000"/>
                <w:sz w:val="18"/>
                <w:szCs w:val="18"/>
              </w:rPr>
              <w:t>王彦南、汪鹏利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75F7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王彦南、汪鹏利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szCs w:val="21"/>
              </w:rPr>
              <w:t>邓宇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王彦南、汪鹏利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75F76">
              <w:rPr>
                <w:rFonts w:asciiTheme="minorEastAsia" w:hAnsiTheme="minorEastAsia" w:cs="Times New Roman" w:hint="eastAsia"/>
                <w:szCs w:val="21"/>
              </w:rPr>
              <w:t>邓宇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75F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959128D" wp14:editId="09296AFE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192405</wp:posOffset>
                  </wp:positionV>
                  <wp:extent cx="1952625" cy="2025650"/>
                  <wp:effectExtent l="0" t="0" r="952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3108023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1"/>
                          <a:stretch/>
                        </pic:blipFill>
                        <pic:spPr bwMode="auto">
                          <a:xfrm>
                            <a:off x="0" y="0"/>
                            <a:ext cx="1952625" cy="202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123" w:rsidRDefault="00305123" w:rsidP="00E75F76">
      <w:r>
        <w:separator/>
      </w:r>
    </w:p>
  </w:endnote>
  <w:endnote w:type="continuationSeparator" w:id="0">
    <w:p w:rsidR="00305123" w:rsidRDefault="00305123" w:rsidP="00E7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123" w:rsidRDefault="00305123" w:rsidP="00E75F76">
      <w:r>
        <w:separator/>
      </w:r>
    </w:p>
  </w:footnote>
  <w:footnote w:type="continuationSeparator" w:id="0">
    <w:p w:rsidR="00305123" w:rsidRDefault="00305123" w:rsidP="00E75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5123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75F76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BDFEA-699A-4E40-AAD9-581C24CD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